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00" w:type="dxa"/>
        <w:jc w:val="center"/>
        <w:tblCellSpacing w:w="0" w:type="dxa"/>
        <w:tblCellMar>
          <w:left w:w="0" w:type="dxa"/>
          <w:right w:w="0" w:type="dxa"/>
        </w:tblCellMar>
        <w:tblLook w:val="04A0" w:firstRow="1" w:lastRow="0" w:firstColumn="1" w:lastColumn="0" w:noHBand="0" w:noVBand="1"/>
      </w:tblPr>
      <w:tblGrid>
        <w:gridCol w:w="7510"/>
      </w:tblGrid>
      <w:tr w:rsidR="00B32FD2" w14:paraId="510342F9" w14:textId="77777777">
        <w:trPr>
          <w:tblCellSpacing w:w="0" w:type="dxa"/>
          <w:jc w:val="center"/>
        </w:trPr>
        <w:tc>
          <w:tcPr>
            <w:tcW w:w="5000" w:type="pct"/>
            <w:tcMar>
              <w:top w:w="75" w:type="dxa"/>
              <w:left w:w="0" w:type="dxa"/>
              <w:bottom w:w="75"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607D4497" w14:textId="77777777">
              <w:trPr>
                <w:tblCellSpacing w:w="0" w:type="dxa"/>
              </w:trPr>
              <w:tc>
                <w:tcPr>
                  <w:tcW w:w="5000" w:type="pct"/>
                  <w:vAlign w:val="center"/>
                  <w:hideMark/>
                </w:tcPr>
                <w:p w14:paraId="7F6BAA9D" w14:textId="128CA71C" w:rsidR="00B32FD2" w:rsidRDefault="00B32FD2">
                  <w:pPr>
                    <w:jc w:val="center"/>
                    <w:rPr>
                      <w:rFonts w:eastAsia="Times New Roman"/>
                    </w:rPr>
                  </w:pPr>
                  <w:r>
                    <w:rPr>
                      <w:rFonts w:eastAsia="Times New Roman"/>
                      <w:noProof/>
                    </w:rPr>
                    <w:drawing>
                      <wp:inline distT="0" distB="0" distL="0" distR="0" wp14:anchorId="380D3EFC" wp14:editId="45673FC9">
                        <wp:extent cx="2381250" cy="2381250"/>
                        <wp:effectExtent l="0" t="0" r="0" b="0"/>
                        <wp:docPr id="1029322579"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r>
          </w:tbl>
          <w:p w14:paraId="40BD42ED" w14:textId="77777777" w:rsidR="00B32FD2" w:rsidRDefault="00B32FD2">
            <w:pPr>
              <w:spacing w:line="30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74E94F1C" w14:textId="77777777">
              <w:trPr>
                <w:tblCellSpacing w:w="0" w:type="dxa"/>
              </w:trPr>
              <w:tc>
                <w:tcPr>
                  <w:tcW w:w="5000" w:type="pct"/>
                  <w:vAlign w:val="center"/>
                  <w:hideMark/>
                </w:tcPr>
                <w:p w14:paraId="37BD516B" w14:textId="77777777" w:rsidR="00B32FD2" w:rsidRDefault="00B32FD2">
                  <w:pPr>
                    <w:pStyle w:val="Otsikko1"/>
                    <w:spacing w:before="0" w:after="0" w:line="420" w:lineRule="atLeast"/>
                    <w:jc w:val="center"/>
                    <w:rPr>
                      <w:rFonts w:ascii="Arial" w:eastAsia="Times New Roman" w:hAnsi="Arial" w:cs="Arial"/>
                      <w:color w:val="555555"/>
                      <w:sz w:val="35"/>
                      <w:szCs w:val="35"/>
                    </w:rPr>
                  </w:pPr>
                  <w:r>
                    <w:rPr>
                      <w:rStyle w:val="tinymce-placeholder"/>
                      <w:rFonts w:ascii="Arial" w:eastAsia="Times New Roman" w:hAnsi="Arial" w:cs="Arial"/>
                      <w:color w:val="555555"/>
                      <w:sz w:val="35"/>
                      <w:szCs w:val="35"/>
                    </w:rPr>
                    <w:t>JÄSENTIEDOTE / marraskuu 2025</w:t>
                  </w:r>
                </w:p>
              </w:tc>
            </w:tr>
          </w:tbl>
          <w:p w14:paraId="358CCBD3" w14:textId="77777777" w:rsidR="00B32FD2" w:rsidRDefault="00B32FD2">
            <w:pPr>
              <w:spacing w:line="300" w:lineRule="atLeast"/>
              <w:rPr>
                <w:rFonts w:eastAsia="Times New Roman"/>
                <w:color w:val="000000"/>
                <w:sz w:val="2"/>
                <w:szCs w:val="2"/>
              </w:rPr>
            </w:pPr>
            <w:r>
              <w:rPr>
                <w:rFonts w:ascii="Arial" w:eastAsia="Times New Roman" w:hAnsi="Arial" w:cs="Arial"/>
                <w:color w:val="000000"/>
                <w:sz w:val="2"/>
                <w:szCs w:val="2"/>
              </w:rPr>
              <w:t> </w:t>
            </w:r>
            <w:r>
              <w:rPr>
                <w:rFonts w:eastAsia="Times New Roman"/>
                <w:color w:val="000000"/>
                <w:sz w:val="2"/>
                <w:szCs w:val="2"/>
              </w:rPr>
              <w:t xml:space="preserve"> </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510"/>
            </w:tblGrid>
            <w:tr w:rsidR="00B32FD2" w14:paraId="1704B165" w14:textId="77777777">
              <w:trPr>
                <w:tblCellSpacing w:w="0" w:type="dxa"/>
              </w:trPr>
              <w:tc>
                <w:tcPr>
                  <w:tcW w:w="0" w:type="auto"/>
                  <w:vAlign w:val="center"/>
                  <w:hideMark/>
                </w:tcPr>
                <w:p w14:paraId="757431CB"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Syksyn lehdet ovat jo pääosin pudonneet ja päivät lyhenevät.</w:t>
                  </w:r>
                  <w:r>
                    <w:rPr>
                      <w:rFonts w:ascii="Arial" w:hAnsi="Arial" w:cs="Arial"/>
                      <w:color w:val="555555"/>
                      <w:sz w:val="21"/>
                      <w:szCs w:val="21"/>
                    </w:rPr>
                    <w:br/>
                    <w:t>Vaikka pimeys hiipii ikkunoista sisään, kynttilänvalo ja lämmin kahvikuppi tuovat valoa arkeen.</w:t>
                  </w:r>
                </w:p>
                <w:p w14:paraId="05A73847"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Iloitaan pienistä hetkistä, vaikka ulkona olisi kuinka harmaata tahansa. Marraskuu opettaa meille kärsivällisyyttä ja muistuttaa, että pian koittaa taas valoisa aika.</w:t>
                  </w:r>
                </w:p>
                <w:p w14:paraId="7B26B542"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Mukavaa marraskuuta – pidetään huolta toisistamme ja itsestämme!</w:t>
                  </w:r>
                </w:p>
              </w:tc>
            </w:tr>
          </w:tbl>
          <w:p w14:paraId="2A163274" w14:textId="77777777" w:rsidR="00B32FD2" w:rsidRDefault="00B32FD2">
            <w:pPr>
              <w:spacing w:line="30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2D5E4A55" w14:textId="77777777">
              <w:trPr>
                <w:tblCellSpacing w:w="0" w:type="dxa"/>
              </w:trPr>
              <w:tc>
                <w:tcPr>
                  <w:tcW w:w="5000" w:type="pct"/>
                  <w:vAlign w:val="center"/>
                  <w:hideMark/>
                </w:tcPr>
                <w:p w14:paraId="309A5FE9" w14:textId="7C50CFDE" w:rsidR="00B32FD2" w:rsidRDefault="00B32FD2">
                  <w:pPr>
                    <w:jc w:val="center"/>
                    <w:rPr>
                      <w:rFonts w:eastAsia="Times New Roman"/>
                    </w:rPr>
                  </w:pPr>
                  <w:r>
                    <w:rPr>
                      <w:rFonts w:eastAsia="Times New Roman"/>
                      <w:noProof/>
                    </w:rPr>
                    <w:drawing>
                      <wp:inline distT="0" distB="0" distL="0" distR="0" wp14:anchorId="6F3625A2" wp14:editId="3A14A769">
                        <wp:extent cx="4756150" cy="3568700"/>
                        <wp:effectExtent l="0" t="0" r="6350" b="0"/>
                        <wp:docPr id="1045877260"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6150" cy="3568700"/>
                                </a:xfrm>
                                <a:prstGeom prst="rect">
                                  <a:avLst/>
                                </a:prstGeom>
                                <a:noFill/>
                                <a:ln>
                                  <a:noFill/>
                                </a:ln>
                              </pic:spPr>
                            </pic:pic>
                          </a:graphicData>
                        </a:graphic>
                      </wp:inline>
                    </w:drawing>
                  </w:r>
                </w:p>
              </w:tc>
            </w:tr>
          </w:tbl>
          <w:p w14:paraId="15566CCF" w14:textId="77777777" w:rsidR="00B32FD2" w:rsidRDefault="00B32FD2">
            <w:pPr>
              <w:spacing w:line="15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510"/>
            </w:tblGrid>
            <w:tr w:rsidR="00B32FD2" w14:paraId="690EF9BA" w14:textId="77777777">
              <w:trPr>
                <w:tblCellSpacing w:w="0" w:type="dxa"/>
              </w:trPr>
              <w:tc>
                <w:tcPr>
                  <w:tcW w:w="0" w:type="auto"/>
                  <w:vAlign w:val="center"/>
                  <w:hideMark/>
                </w:tcPr>
                <w:p w14:paraId="2F98F114"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Style w:val="Voimakas"/>
                      <w:rFonts w:ascii="Arial" w:hAnsi="Arial" w:cs="Arial"/>
                      <w:color w:val="555555"/>
                      <w:sz w:val="30"/>
                      <w:szCs w:val="30"/>
                    </w:rPr>
                    <w:lastRenderedPageBreak/>
                    <w:t>METSÄKYLPYÄ JA HÄMÄRÄHOMMIA</w:t>
                  </w:r>
                  <w:r>
                    <w:rPr>
                      <w:rFonts w:ascii="Arial" w:hAnsi="Arial" w:cs="Arial"/>
                      <w:b/>
                      <w:bCs/>
                      <w:color w:val="555555"/>
                      <w:sz w:val="30"/>
                      <w:szCs w:val="30"/>
                    </w:rPr>
                    <w:br/>
                  </w:r>
                  <w:r>
                    <w:rPr>
                      <w:rStyle w:val="Voimakas"/>
                      <w:rFonts w:ascii="Arial" w:hAnsi="Arial" w:cs="Arial"/>
                      <w:color w:val="555555"/>
                      <w:sz w:val="30"/>
                      <w:szCs w:val="30"/>
                    </w:rPr>
                    <w:t>sunnuntaina 16.11.2025 klo 17-18.30</w:t>
                  </w:r>
                  <w:r>
                    <w:rPr>
                      <w:rFonts w:ascii="Arial" w:hAnsi="Arial" w:cs="Arial"/>
                      <w:b/>
                      <w:bCs/>
                      <w:color w:val="555555"/>
                      <w:sz w:val="30"/>
                      <w:szCs w:val="30"/>
                    </w:rPr>
                    <w:br/>
                  </w:r>
                  <w:proofErr w:type="spellStart"/>
                  <w:r>
                    <w:rPr>
                      <w:rStyle w:val="Voimakas"/>
                      <w:rFonts w:ascii="Arial" w:hAnsi="Arial" w:cs="Arial"/>
                      <w:color w:val="555555"/>
                      <w:sz w:val="30"/>
                      <w:szCs w:val="30"/>
                    </w:rPr>
                    <w:t>Valpperin</w:t>
                  </w:r>
                  <w:proofErr w:type="spellEnd"/>
                  <w:r>
                    <w:rPr>
                      <w:rStyle w:val="Voimakas"/>
                      <w:rFonts w:ascii="Arial" w:hAnsi="Arial" w:cs="Arial"/>
                      <w:color w:val="555555"/>
                      <w:sz w:val="30"/>
                      <w:szCs w:val="30"/>
                    </w:rPr>
                    <w:t xml:space="preserve"> kodalla (Urheilutie 19, Nousiainen)</w:t>
                  </w:r>
                </w:p>
                <w:p w14:paraId="196568BB"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 </w:t>
                  </w:r>
                </w:p>
                <w:p w14:paraId="626F86F4"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Hämärän laskeutuessa metsä muuttuu jännittäväksi, jopa salaperäiseksi. Metsän henkeä etsiessään lapset huomaavat, että haltijoita, keijuja ja peikkoja vilisee siellä täällä… mielikuvitus pääsee liikkeelle ja liikuttua tulee monipuolisesti. Yhdessä tekeminen on parasta, luonto on todellinen aarreaitta! Myös lasten metsäkylpyyn kuuluu rauhoittuminen ja rentoutuminen.</w:t>
                  </w:r>
                </w:p>
                <w:p w14:paraId="6B99213E"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Mukaan tarvitset oman taskulampun/otsalampun ja säänmukaisen vaatetuksen ja tietysti ripauksen seikkailumieltä. Yhdistys tarjoaa mehua ja vaahtokarkkeja, muutoin voi ottaa omia eväitä mukaan. Kodassa on mahdollisuus paistaa omia makkaroita. Tapahtuma on kaikille avoin perhetapahtuma, joka sopii kaikenikäisille vauvasta vaariin, muksusta mummoon.</w:t>
                  </w:r>
                </w:p>
                <w:p w14:paraId="6C9D4939"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t>Tervetuloa koko perheen voimin ulkoilemaan hämärän aikaan sekä tutustumaan ja liikkumaan hämärän kätkemään lähiympäristöön!</w:t>
                  </w:r>
                </w:p>
              </w:tc>
            </w:tr>
          </w:tbl>
          <w:p w14:paraId="7E8F55AB" w14:textId="77777777" w:rsidR="00B32FD2" w:rsidRDefault="00B32FD2">
            <w:pPr>
              <w:spacing w:line="15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564B1A8E" w14:textId="77777777">
              <w:trPr>
                <w:tblCellSpacing w:w="0" w:type="dxa"/>
              </w:trPr>
              <w:tc>
                <w:tcPr>
                  <w:tcW w:w="0" w:type="auto"/>
                  <w:tcMar>
                    <w:top w:w="100" w:type="dxa"/>
                    <w:left w:w="100" w:type="dxa"/>
                    <w:bottom w:w="100" w:type="dxa"/>
                    <w:right w:w="1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10"/>
                  </w:tblGrid>
                  <w:tr w:rsidR="00B32FD2" w14:paraId="4EFB412C" w14:textId="77777777">
                    <w:trPr>
                      <w:tblCellSpacing w:w="0" w:type="dxa"/>
                      <w:jc w:val="center"/>
                    </w:trPr>
                    <w:tc>
                      <w:tcPr>
                        <w:tcW w:w="0" w:type="auto"/>
                        <w:tcBorders>
                          <w:top w:val="single" w:sz="6" w:space="0" w:color="BBBBBB"/>
                          <w:left w:val="nil"/>
                          <w:bottom w:val="nil"/>
                          <w:right w:val="nil"/>
                        </w:tcBorders>
                        <w:vAlign w:val="center"/>
                        <w:hideMark/>
                      </w:tcPr>
                      <w:p w14:paraId="5BD6800C" w14:textId="77777777" w:rsidR="00B32FD2" w:rsidRDefault="00B32FD2">
                        <w:pPr>
                          <w:spacing w:line="15" w:lineRule="atLeast"/>
                          <w:rPr>
                            <w:rFonts w:eastAsia="Times New Roman"/>
                            <w:sz w:val="2"/>
                            <w:szCs w:val="2"/>
                          </w:rPr>
                        </w:pPr>
                        <w:r>
                          <w:rPr>
                            <w:rFonts w:ascii="Arial" w:eastAsia="Times New Roman" w:hAnsi="Arial" w:cs="Arial"/>
                            <w:sz w:val="2"/>
                            <w:szCs w:val="2"/>
                          </w:rPr>
                          <w:t> </w:t>
                        </w:r>
                      </w:p>
                    </w:tc>
                  </w:tr>
                </w:tbl>
                <w:p w14:paraId="180015A5" w14:textId="77777777" w:rsidR="00B32FD2" w:rsidRDefault="00B32FD2">
                  <w:pPr>
                    <w:jc w:val="center"/>
                    <w:rPr>
                      <w:rFonts w:ascii="Times New Roman" w:eastAsia="Times New Roman" w:hAnsi="Times New Roman" w:cs="Times New Roman"/>
                      <w:sz w:val="20"/>
                      <w:szCs w:val="20"/>
                    </w:rPr>
                  </w:pPr>
                </w:p>
              </w:tc>
            </w:tr>
          </w:tbl>
          <w:p w14:paraId="1A469B98" w14:textId="77777777" w:rsidR="00B32FD2" w:rsidRDefault="00B32FD2">
            <w:pPr>
              <w:spacing w:line="15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2563DC8A" w14:textId="77777777">
              <w:trPr>
                <w:tblCellSpacing w:w="0" w:type="dxa"/>
              </w:trPr>
              <w:tc>
                <w:tcPr>
                  <w:tcW w:w="5000" w:type="pct"/>
                  <w:vAlign w:val="center"/>
                  <w:hideMark/>
                </w:tcPr>
                <w:p w14:paraId="21CBE02D" w14:textId="2C46CFE7" w:rsidR="00B32FD2" w:rsidRDefault="00B32FD2">
                  <w:pPr>
                    <w:jc w:val="center"/>
                    <w:rPr>
                      <w:rFonts w:eastAsia="Times New Roman"/>
                    </w:rPr>
                  </w:pPr>
                  <w:r>
                    <w:rPr>
                      <w:rFonts w:eastAsia="Times New Roman"/>
                      <w:noProof/>
                    </w:rPr>
                    <w:drawing>
                      <wp:inline distT="0" distB="0" distL="0" distR="0" wp14:anchorId="0B4E9AC3" wp14:editId="72296BAC">
                        <wp:extent cx="3333750" cy="2495550"/>
                        <wp:effectExtent l="0" t="0" r="0" b="0"/>
                        <wp:docPr id="113534443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tc>
            </w:tr>
          </w:tbl>
          <w:p w14:paraId="03106AD6" w14:textId="77777777" w:rsidR="00B32FD2" w:rsidRDefault="00B32FD2">
            <w:pPr>
              <w:rPr>
                <w:rFonts w:eastAsia="Times New Roman"/>
                <w:vanish/>
                <w:color w:val="000000"/>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510"/>
            </w:tblGrid>
            <w:tr w:rsidR="00B32FD2" w14:paraId="3996F9B8" w14:textId="77777777">
              <w:trPr>
                <w:tblCellSpacing w:w="0" w:type="dxa"/>
              </w:trPr>
              <w:tc>
                <w:tcPr>
                  <w:tcW w:w="0" w:type="auto"/>
                  <w:vAlign w:val="center"/>
                  <w:hideMark/>
                </w:tcPr>
                <w:p w14:paraId="27DF38E9" w14:textId="77777777" w:rsidR="00B32FD2" w:rsidRDefault="00B32FD2">
                  <w:pPr>
                    <w:pStyle w:val="NormaaliWWW"/>
                    <w:spacing w:before="0" w:beforeAutospacing="0" w:after="0" w:afterAutospacing="0" w:line="252" w:lineRule="atLeast"/>
                  </w:pPr>
                  <w:r>
                    <w:rPr>
                      <w:rFonts w:ascii="Arial" w:hAnsi="Arial" w:cs="Arial"/>
                      <w:b/>
                      <w:bCs/>
                      <w:color w:val="555555"/>
                      <w:sz w:val="18"/>
                      <w:szCs w:val="18"/>
                    </w:rPr>
                    <w:br/>
                  </w:r>
                  <w:r>
                    <w:rPr>
                      <w:rStyle w:val="Voimakas"/>
                      <w:rFonts w:ascii="Arial" w:hAnsi="Arial" w:cs="Arial"/>
                      <w:color w:val="555555"/>
                      <w:sz w:val="18"/>
                      <w:szCs w:val="18"/>
                    </w:rPr>
                    <w:t>YHDISTYKSEN SÄÄNTÖMÄÄRÄINEN SYYSKOKOUS</w:t>
                  </w:r>
                  <w:r>
                    <w:rPr>
                      <w:rFonts w:ascii="Arial" w:hAnsi="Arial" w:cs="Arial"/>
                      <w:b/>
                      <w:bCs/>
                      <w:color w:val="555555"/>
                      <w:sz w:val="21"/>
                      <w:szCs w:val="21"/>
                    </w:rPr>
                    <w:br/>
                  </w:r>
                  <w:r>
                    <w:rPr>
                      <w:rStyle w:val="Voimakas"/>
                      <w:rFonts w:ascii="Arial" w:hAnsi="Arial" w:cs="Arial"/>
                      <w:color w:val="555555"/>
                      <w:sz w:val="30"/>
                      <w:szCs w:val="30"/>
                    </w:rPr>
                    <w:t>torstaina 20.11. klo 18 </w:t>
                  </w:r>
                  <w:r>
                    <w:rPr>
                      <w:rFonts w:ascii="Arial" w:hAnsi="Arial" w:cs="Arial"/>
                      <w:b/>
                      <w:bCs/>
                      <w:color w:val="555555"/>
                      <w:sz w:val="30"/>
                      <w:szCs w:val="30"/>
                    </w:rPr>
                    <w:br/>
                  </w:r>
                  <w:r>
                    <w:t>Suden majalla (Repolantie 203, Nousiainen)</w:t>
                  </w:r>
                  <w:r>
                    <w:rPr>
                      <w:rFonts w:ascii="Arial" w:hAnsi="Arial" w:cs="Arial"/>
                      <w:color w:val="555555"/>
                      <w:sz w:val="21"/>
                      <w:szCs w:val="21"/>
                    </w:rPr>
                    <w:br/>
                  </w:r>
                  <w:r>
                    <w:rPr>
                      <w:rFonts w:ascii="Arial" w:hAnsi="Arial" w:cs="Arial"/>
                      <w:color w:val="555555"/>
                      <w:sz w:val="21"/>
                      <w:szCs w:val="21"/>
                    </w:rPr>
                    <w:br/>
                  </w:r>
                  <w:r>
                    <w:t>Käsitellään hallituksen ehdotus vuoden 2026 toimintasuunnitelmaksi. Kahvitarjoilu. Tervetuloa!</w:t>
                  </w:r>
                </w:p>
              </w:tc>
            </w:tr>
          </w:tbl>
          <w:p w14:paraId="6FF6E5BA" w14:textId="77777777" w:rsidR="00B32FD2" w:rsidRDefault="00B32FD2">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3900455E" w14:textId="77777777">
              <w:trPr>
                <w:tblCellSpacing w:w="0" w:type="dxa"/>
              </w:trPr>
              <w:tc>
                <w:tcPr>
                  <w:tcW w:w="0" w:type="auto"/>
                  <w:tcMar>
                    <w:top w:w="100" w:type="dxa"/>
                    <w:left w:w="100" w:type="dxa"/>
                    <w:bottom w:w="100" w:type="dxa"/>
                    <w:right w:w="10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310"/>
                  </w:tblGrid>
                  <w:tr w:rsidR="00B32FD2" w14:paraId="12B54860" w14:textId="77777777">
                    <w:trPr>
                      <w:tblCellSpacing w:w="0" w:type="dxa"/>
                      <w:jc w:val="center"/>
                    </w:trPr>
                    <w:tc>
                      <w:tcPr>
                        <w:tcW w:w="0" w:type="auto"/>
                        <w:tcBorders>
                          <w:top w:val="single" w:sz="6" w:space="0" w:color="BBBBBB"/>
                          <w:left w:val="nil"/>
                          <w:bottom w:val="nil"/>
                          <w:right w:val="nil"/>
                        </w:tcBorders>
                        <w:vAlign w:val="center"/>
                        <w:hideMark/>
                      </w:tcPr>
                      <w:p w14:paraId="6DD80143" w14:textId="77777777" w:rsidR="00B32FD2" w:rsidRDefault="00B32FD2">
                        <w:pPr>
                          <w:spacing w:line="15" w:lineRule="atLeast"/>
                          <w:rPr>
                            <w:rFonts w:eastAsia="Times New Roman"/>
                            <w:sz w:val="2"/>
                            <w:szCs w:val="2"/>
                          </w:rPr>
                        </w:pPr>
                        <w:r>
                          <w:rPr>
                            <w:rFonts w:ascii="Arial" w:eastAsia="Times New Roman" w:hAnsi="Arial" w:cs="Arial"/>
                            <w:sz w:val="2"/>
                            <w:szCs w:val="2"/>
                          </w:rPr>
                          <w:t> </w:t>
                        </w:r>
                      </w:p>
                    </w:tc>
                  </w:tr>
                </w:tbl>
                <w:p w14:paraId="4FA6470B" w14:textId="77777777" w:rsidR="00B32FD2" w:rsidRDefault="00B32FD2">
                  <w:pPr>
                    <w:jc w:val="center"/>
                    <w:rPr>
                      <w:rFonts w:ascii="Times New Roman" w:eastAsia="Times New Roman" w:hAnsi="Times New Roman" w:cs="Times New Roman"/>
                      <w:sz w:val="20"/>
                      <w:szCs w:val="20"/>
                    </w:rPr>
                  </w:pPr>
                </w:p>
              </w:tc>
            </w:tr>
          </w:tbl>
          <w:p w14:paraId="5A71EEDB" w14:textId="77777777" w:rsidR="00B32FD2" w:rsidRDefault="00B32FD2">
            <w:pPr>
              <w:spacing w:line="15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left w:w="0" w:type="dxa"/>
                <w:right w:w="0" w:type="dxa"/>
              </w:tblCellMar>
              <w:tblLook w:val="04A0" w:firstRow="1" w:lastRow="0" w:firstColumn="1" w:lastColumn="0" w:noHBand="0" w:noVBand="1"/>
            </w:tblPr>
            <w:tblGrid>
              <w:gridCol w:w="7510"/>
            </w:tblGrid>
            <w:tr w:rsidR="00B32FD2" w14:paraId="734502FA" w14:textId="77777777">
              <w:trPr>
                <w:tblCellSpacing w:w="0" w:type="dxa"/>
              </w:trPr>
              <w:tc>
                <w:tcPr>
                  <w:tcW w:w="5000" w:type="pct"/>
                  <w:vAlign w:val="center"/>
                  <w:hideMark/>
                </w:tcPr>
                <w:p w14:paraId="5FE51AE1" w14:textId="0FF10B11" w:rsidR="00B32FD2" w:rsidRDefault="00B32FD2">
                  <w:pPr>
                    <w:jc w:val="center"/>
                    <w:rPr>
                      <w:rFonts w:eastAsia="Times New Roman"/>
                    </w:rPr>
                  </w:pPr>
                  <w:r>
                    <w:rPr>
                      <w:rFonts w:eastAsia="Times New Roman"/>
                      <w:noProof/>
                    </w:rPr>
                    <w:lastRenderedPageBreak/>
                    <w:drawing>
                      <wp:inline distT="0" distB="0" distL="0" distR="0" wp14:anchorId="6193D553" wp14:editId="38F38B07">
                        <wp:extent cx="4768850" cy="2673350"/>
                        <wp:effectExtent l="0" t="0" r="0" b="0"/>
                        <wp:docPr id="15801759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0" cy="2673350"/>
                                </a:xfrm>
                                <a:prstGeom prst="rect">
                                  <a:avLst/>
                                </a:prstGeom>
                                <a:noFill/>
                                <a:ln>
                                  <a:noFill/>
                                </a:ln>
                              </pic:spPr>
                            </pic:pic>
                          </a:graphicData>
                        </a:graphic>
                      </wp:inline>
                    </w:drawing>
                  </w:r>
                </w:p>
              </w:tc>
            </w:tr>
          </w:tbl>
          <w:p w14:paraId="39901779" w14:textId="77777777" w:rsidR="00B32FD2" w:rsidRDefault="00B32FD2">
            <w:pPr>
              <w:spacing w:line="150" w:lineRule="atLeast"/>
              <w:rPr>
                <w:rFonts w:eastAsia="Times New Roman"/>
                <w:color w:val="000000"/>
                <w:sz w:val="2"/>
                <w:szCs w:val="2"/>
              </w:rPr>
            </w:pPr>
            <w:r>
              <w:rPr>
                <w:rFonts w:ascii="Arial" w:eastAsia="Times New Roman" w:hAnsi="Arial" w:cs="Arial"/>
                <w:color w:val="000000"/>
                <w:sz w:val="2"/>
                <w:szCs w:val="2"/>
              </w:rPr>
              <w:t> </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7510"/>
            </w:tblGrid>
            <w:tr w:rsidR="00B32FD2" w14:paraId="08DF7E2E" w14:textId="77777777">
              <w:trPr>
                <w:tblCellSpacing w:w="0" w:type="dxa"/>
              </w:trPr>
              <w:tc>
                <w:tcPr>
                  <w:tcW w:w="0" w:type="auto"/>
                  <w:vAlign w:val="center"/>
                  <w:hideMark/>
                </w:tcPr>
                <w:p w14:paraId="67E15119"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Style w:val="Voimakas"/>
                      <w:rFonts w:ascii="Arial" w:hAnsi="Arial" w:cs="Arial"/>
                      <w:color w:val="555555"/>
                      <w:sz w:val="30"/>
                      <w:szCs w:val="30"/>
                    </w:rPr>
                    <w:t>METSÄKIRKKO</w:t>
                  </w:r>
                  <w:r>
                    <w:rPr>
                      <w:rFonts w:ascii="Arial" w:hAnsi="Arial" w:cs="Arial"/>
                      <w:b/>
                      <w:bCs/>
                      <w:color w:val="555555"/>
                      <w:sz w:val="30"/>
                      <w:szCs w:val="30"/>
                    </w:rPr>
                    <w:br/>
                  </w:r>
                  <w:r>
                    <w:rPr>
                      <w:rStyle w:val="Voimakas"/>
                      <w:rFonts w:ascii="Arial" w:hAnsi="Arial" w:cs="Arial"/>
                      <w:color w:val="555555"/>
                      <w:sz w:val="30"/>
                      <w:szCs w:val="30"/>
                    </w:rPr>
                    <w:t xml:space="preserve">sunnuntaina 30.11. klo 16 </w:t>
                  </w:r>
                </w:p>
                <w:p w14:paraId="49F12B9C"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30"/>
                      <w:szCs w:val="30"/>
                    </w:rPr>
                    <w:t>kotiseutumuseon pihapiirissä (</w:t>
                  </w:r>
                  <w:proofErr w:type="spellStart"/>
                  <w:r>
                    <w:rPr>
                      <w:rFonts w:ascii="Arial" w:hAnsi="Arial" w:cs="Arial"/>
                      <w:color w:val="555555"/>
                      <w:sz w:val="30"/>
                      <w:szCs w:val="30"/>
                    </w:rPr>
                    <w:t>Topoistentie</w:t>
                  </w:r>
                  <w:proofErr w:type="spellEnd"/>
                  <w:r>
                    <w:rPr>
                      <w:rFonts w:ascii="Arial" w:hAnsi="Arial" w:cs="Arial"/>
                      <w:color w:val="555555"/>
                      <w:sz w:val="30"/>
                      <w:szCs w:val="30"/>
                    </w:rPr>
                    <w:t xml:space="preserve"> 9, Nousiainen)</w:t>
                  </w:r>
                  <w:r>
                    <w:rPr>
                      <w:rFonts w:ascii="Arial" w:hAnsi="Arial" w:cs="Arial"/>
                      <w:color w:val="555555"/>
                      <w:sz w:val="21"/>
                      <w:szCs w:val="21"/>
                    </w:rPr>
                    <w:br/>
                  </w:r>
                  <w:r>
                    <w:rPr>
                      <w:rFonts w:ascii="Arial" w:hAnsi="Arial" w:cs="Arial"/>
                      <w:color w:val="555555"/>
                      <w:sz w:val="21"/>
                      <w:szCs w:val="21"/>
                    </w:rPr>
                    <w:br/>
                    <w:t>Tilaisuus järjestetään yhteistyössä Nousiaisten Kotiseutuyhdistyksen ja Nousiaisten seurakunnan kanssa. Glögitarjoilu.</w:t>
                  </w:r>
                </w:p>
                <w:p w14:paraId="4422DF5B" w14:textId="77777777" w:rsidR="00B32FD2" w:rsidRDefault="00B32FD2">
                  <w:pPr>
                    <w:pStyle w:val="NormaaliWWW"/>
                    <w:spacing w:before="0" w:beforeAutospacing="0" w:after="0" w:afterAutospacing="0" w:line="252" w:lineRule="atLeast"/>
                    <w:rPr>
                      <w:rFonts w:ascii="Arial" w:hAnsi="Arial" w:cs="Arial"/>
                      <w:color w:val="555555"/>
                      <w:sz w:val="21"/>
                      <w:szCs w:val="21"/>
                    </w:rPr>
                  </w:pPr>
                  <w:r>
                    <w:rPr>
                      <w:rFonts w:ascii="Arial" w:hAnsi="Arial" w:cs="Arial"/>
                      <w:color w:val="555555"/>
                      <w:sz w:val="21"/>
                      <w:szCs w:val="21"/>
                    </w:rPr>
                    <w:br/>
                    <w:t>Tervetuloa!</w:t>
                  </w:r>
                </w:p>
              </w:tc>
            </w:tr>
          </w:tbl>
          <w:p w14:paraId="00F84F35" w14:textId="77777777" w:rsidR="00B32FD2" w:rsidRDefault="00B32FD2">
            <w:pPr>
              <w:rPr>
                <w:rFonts w:ascii="Times New Roman" w:eastAsia="Times New Roman" w:hAnsi="Times New Roman" w:cs="Times New Roman"/>
                <w:sz w:val="20"/>
                <w:szCs w:val="20"/>
              </w:rPr>
            </w:pPr>
          </w:p>
        </w:tc>
      </w:tr>
    </w:tbl>
    <w:p w14:paraId="20B351DD" w14:textId="77777777" w:rsidR="00001AE4" w:rsidRDefault="00001AE4"/>
    <w:sectPr w:rsidR="00001AE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D2"/>
    <w:rsid w:val="00001AE4"/>
    <w:rsid w:val="00276BC1"/>
    <w:rsid w:val="00605B4F"/>
    <w:rsid w:val="00B32FD2"/>
    <w:rsid w:val="00E62F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90BE"/>
  <w15:chartTrackingRefBased/>
  <w15:docId w15:val="{E12E0F65-B279-4F6E-8003-04B5EE55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2FD2"/>
    <w:pPr>
      <w:spacing w:after="0" w:line="240" w:lineRule="auto"/>
    </w:pPr>
    <w:rPr>
      <w:rFonts w:ascii="Aptos" w:hAnsi="Aptos" w:cs="Aptos"/>
      <w:kern w:val="0"/>
      <w:sz w:val="24"/>
      <w:szCs w:val="24"/>
      <w:lang w:eastAsia="fi-FI"/>
      <w14:ligatures w14:val="none"/>
    </w:rPr>
  </w:style>
  <w:style w:type="paragraph" w:styleId="Otsikko1">
    <w:name w:val="heading 1"/>
    <w:basedOn w:val="Normaali"/>
    <w:next w:val="Normaali"/>
    <w:link w:val="Otsikko1Char"/>
    <w:uiPriority w:val="9"/>
    <w:qFormat/>
    <w:rsid w:val="00B32F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B32F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B32F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B32F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Otsikko5">
    <w:name w:val="heading 5"/>
    <w:basedOn w:val="Normaali"/>
    <w:next w:val="Normaali"/>
    <w:link w:val="Otsikko5Char"/>
    <w:uiPriority w:val="9"/>
    <w:semiHidden/>
    <w:unhideWhenUsed/>
    <w:qFormat/>
    <w:rsid w:val="00B32FD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Otsikko6">
    <w:name w:val="heading 6"/>
    <w:basedOn w:val="Normaali"/>
    <w:next w:val="Normaali"/>
    <w:link w:val="Otsikko6Char"/>
    <w:uiPriority w:val="9"/>
    <w:semiHidden/>
    <w:unhideWhenUsed/>
    <w:qFormat/>
    <w:rsid w:val="00B32F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tsikko7">
    <w:name w:val="heading 7"/>
    <w:basedOn w:val="Normaali"/>
    <w:next w:val="Normaali"/>
    <w:link w:val="Otsikko7Char"/>
    <w:uiPriority w:val="9"/>
    <w:semiHidden/>
    <w:unhideWhenUsed/>
    <w:qFormat/>
    <w:rsid w:val="00B32F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tsikko8">
    <w:name w:val="heading 8"/>
    <w:basedOn w:val="Normaali"/>
    <w:next w:val="Normaali"/>
    <w:link w:val="Otsikko8Char"/>
    <w:uiPriority w:val="9"/>
    <w:semiHidden/>
    <w:unhideWhenUsed/>
    <w:qFormat/>
    <w:rsid w:val="00B32F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tsikko9">
    <w:name w:val="heading 9"/>
    <w:basedOn w:val="Normaali"/>
    <w:next w:val="Normaali"/>
    <w:link w:val="Otsikko9Char"/>
    <w:uiPriority w:val="9"/>
    <w:semiHidden/>
    <w:unhideWhenUsed/>
    <w:qFormat/>
    <w:rsid w:val="00B32F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32FD2"/>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B32FD2"/>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B32FD2"/>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B32FD2"/>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B32FD2"/>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B32FD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32FD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32FD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32FD2"/>
    <w:rPr>
      <w:rFonts w:eastAsiaTheme="majorEastAsia" w:cstheme="majorBidi"/>
      <w:color w:val="272727" w:themeColor="text1" w:themeTint="D8"/>
    </w:rPr>
  </w:style>
  <w:style w:type="paragraph" w:styleId="Otsikko">
    <w:name w:val="Title"/>
    <w:basedOn w:val="Normaali"/>
    <w:next w:val="Normaali"/>
    <w:link w:val="OtsikkoChar"/>
    <w:uiPriority w:val="10"/>
    <w:qFormat/>
    <w:rsid w:val="00B32F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B32FD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32F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B32FD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32FD2"/>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LainausChar">
    <w:name w:val="Lainaus Char"/>
    <w:basedOn w:val="Kappaleenoletusfontti"/>
    <w:link w:val="Lainaus"/>
    <w:uiPriority w:val="29"/>
    <w:rsid w:val="00B32FD2"/>
    <w:rPr>
      <w:i/>
      <w:iCs/>
      <w:color w:val="404040" w:themeColor="text1" w:themeTint="BF"/>
    </w:rPr>
  </w:style>
  <w:style w:type="paragraph" w:styleId="Luettelokappale">
    <w:name w:val="List Paragraph"/>
    <w:basedOn w:val="Normaali"/>
    <w:uiPriority w:val="34"/>
    <w:qFormat/>
    <w:rsid w:val="00B32FD2"/>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Voimakaskorostus">
    <w:name w:val="Intense Emphasis"/>
    <w:basedOn w:val="Kappaleenoletusfontti"/>
    <w:uiPriority w:val="21"/>
    <w:qFormat/>
    <w:rsid w:val="00B32FD2"/>
    <w:rPr>
      <w:i/>
      <w:iCs/>
      <w:color w:val="2F5496" w:themeColor="accent1" w:themeShade="BF"/>
    </w:rPr>
  </w:style>
  <w:style w:type="paragraph" w:styleId="Erottuvalainaus">
    <w:name w:val="Intense Quote"/>
    <w:basedOn w:val="Normaali"/>
    <w:next w:val="Normaali"/>
    <w:link w:val="ErottuvalainausChar"/>
    <w:uiPriority w:val="30"/>
    <w:qFormat/>
    <w:rsid w:val="00B32F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ErottuvalainausChar">
    <w:name w:val="Erottuva lainaus Char"/>
    <w:basedOn w:val="Kappaleenoletusfontti"/>
    <w:link w:val="Erottuvalainaus"/>
    <w:uiPriority w:val="30"/>
    <w:rsid w:val="00B32FD2"/>
    <w:rPr>
      <w:i/>
      <w:iCs/>
      <w:color w:val="2F5496" w:themeColor="accent1" w:themeShade="BF"/>
    </w:rPr>
  </w:style>
  <w:style w:type="character" w:styleId="Erottuvaviittaus">
    <w:name w:val="Intense Reference"/>
    <w:basedOn w:val="Kappaleenoletusfontti"/>
    <w:uiPriority w:val="32"/>
    <w:qFormat/>
    <w:rsid w:val="00B32FD2"/>
    <w:rPr>
      <w:b/>
      <w:bCs/>
      <w:smallCaps/>
      <w:color w:val="2F5496" w:themeColor="accent1" w:themeShade="BF"/>
      <w:spacing w:val="5"/>
    </w:rPr>
  </w:style>
  <w:style w:type="paragraph" w:styleId="NormaaliWWW">
    <w:name w:val="Normal (Web)"/>
    <w:basedOn w:val="Normaali"/>
    <w:uiPriority w:val="99"/>
    <w:semiHidden/>
    <w:unhideWhenUsed/>
    <w:rsid w:val="00B32FD2"/>
    <w:pPr>
      <w:spacing w:before="100" w:beforeAutospacing="1" w:after="100" w:afterAutospacing="1"/>
    </w:pPr>
  </w:style>
  <w:style w:type="character" w:customStyle="1" w:styleId="tinymce-placeholder">
    <w:name w:val="tinymce-placeholder"/>
    <w:basedOn w:val="Kappaleenoletusfontti"/>
    <w:rsid w:val="00B32FD2"/>
  </w:style>
  <w:style w:type="character" w:styleId="Voimakas">
    <w:name w:val="Strong"/>
    <w:basedOn w:val="Kappaleenoletusfontti"/>
    <w:uiPriority w:val="22"/>
    <w:qFormat/>
    <w:rsid w:val="00B3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1651</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Allén</dc:creator>
  <cp:keywords/>
  <dc:description/>
  <cp:lastModifiedBy>Piia Allén</cp:lastModifiedBy>
  <cp:revision>1</cp:revision>
  <dcterms:created xsi:type="dcterms:W3CDTF">2025-10-30T09:54:00Z</dcterms:created>
  <dcterms:modified xsi:type="dcterms:W3CDTF">2025-10-30T09:55:00Z</dcterms:modified>
</cp:coreProperties>
</file>